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82" w:rsidRDefault="00D36394" w:rsidP="007340AA">
      <w:pPr>
        <w:pStyle w:val="1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香格里拉市人民法院院</w:t>
      </w:r>
      <w:r w:rsidR="007340AA">
        <w:rPr>
          <w:rFonts w:ascii="黑体" w:eastAsia="黑体" w:hAnsi="黑体" w:cs="黑体" w:hint="eastAsia"/>
        </w:rPr>
        <w:t>长</w:t>
      </w:r>
      <w:r>
        <w:rPr>
          <w:rFonts w:ascii="黑体" w:eastAsia="黑体" w:hAnsi="黑体" w:cs="黑体" w:hint="eastAsia"/>
        </w:rPr>
        <w:t>、庭长审判管理监督责任制</w:t>
      </w:r>
    </w:p>
    <w:p w:rsidR="00D36394" w:rsidRPr="00D36394" w:rsidRDefault="00D36394" w:rsidP="00D36394">
      <w:pPr>
        <w:ind w:firstLine="640"/>
      </w:pPr>
    </w:p>
    <w:p w:rsidR="00E25382" w:rsidRDefault="00D36394" w:rsidP="00E25382">
      <w:pPr>
        <w:numPr>
          <w:ilvl w:val="0"/>
          <w:numId w:val="1"/>
        </w:numPr>
        <w:ind w:firstLine="643"/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总则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hint="eastAsia"/>
          <w:b/>
          <w:bCs/>
        </w:rPr>
        <w:t>第一条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为健全和完善以审判权为核心，以审判监督权和审判管理权为保障，权责明晰、权责统一、监督有序、配套齐全的审判权力运行机制，根据《</w:t>
      </w:r>
      <w:r>
        <w:rPr>
          <w:rFonts w:ascii="仿宋_GB2312" w:hAnsi="Times New Roman" w:cs="仿宋_GB2312" w:hint="eastAsia"/>
          <w:szCs w:val="32"/>
        </w:rPr>
        <w:t>最高人民法院关于完善人民法院司法责任制的若干意见》、《云南法院健全审判权运行机制完善司法责任制改革试点意见》的规定，结合香格里拉市人民法院工作实际，制定本规定。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 xml:space="preserve">第二条 </w:t>
      </w:r>
      <w:r>
        <w:rPr>
          <w:rFonts w:ascii="仿宋_GB2312" w:hAnsi="Times New Roman" w:cs="仿宋_GB2312" w:hint="eastAsia"/>
          <w:szCs w:val="32"/>
        </w:rPr>
        <w:t xml:space="preserve"> 合理界定各级组织的审判管理监督权，科学配置审判资源，组织、规范、指导、协调审判活动，服务和保障审判权的公正高效运行。</w:t>
      </w:r>
    </w:p>
    <w:p w:rsidR="00E25382" w:rsidRDefault="00D36394">
      <w:pPr>
        <w:ind w:firstLineChars="0" w:firstLine="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 xml:space="preserve">第三条  </w:t>
      </w:r>
      <w:r>
        <w:rPr>
          <w:rFonts w:ascii="仿宋_GB2312" w:hAnsi="Times New Roman" w:cs="仿宋_GB2312" w:hint="eastAsia"/>
          <w:szCs w:val="32"/>
        </w:rPr>
        <w:t>院、庭长依照法律规定对法官、合议庭审理案件进行管理和监督指导，保障和支持法官、合议庭依法行使审判权。</w:t>
      </w:r>
    </w:p>
    <w:p w:rsidR="00E25382" w:rsidRDefault="00D36394" w:rsidP="00E25382">
      <w:pPr>
        <w:numPr>
          <w:ilvl w:val="0"/>
          <w:numId w:val="1"/>
        </w:numPr>
        <w:ind w:firstLine="643"/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审判委员会及院、庭长、合议庭负责人</w:t>
      </w:r>
    </w:p>
    <w:p w:rsidR="00E25382" w:rsidRDefault="00D36394" w:rsidP="00E25382">
      <w:pPr>
        <w:ind w:firstLine="643"/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的审判管理职责</w:t>
      </w:r>
    </w:p>
    <w:p w:rsidR="00E25382" w:rsidRDefault="00E25382" w:rsidP="00E25382">
      <w:pPr>
        <w:ind w:firstLine="640"/>
        <w:rPr>
          <w:rFonts w:ascii="仿宋_GB2312" w:hAnsi="Times New Roman" w:cs="仿宋_GB2312"/>
          <w:szCs w:val="32"/>
        </w:rPr>
      </w:pPr>
    </w:p>
    <w:p w:rsidR="00E25382" w:rsidRDefault="00E25382" w:rsidP="00E25382">
      <w:pPr>
        <w:ind w:firstLine="640"/>
        <w:rPr>
          <w:rFonts w:ascii="仿宋_GB2312" w:hAnsi="Times New Roman" w:cs="仿宋_GB2312"/>
          <w:szCs w:val="32"/>
        </w:rPr>
      </w:pPr>
    </w:p>
    <w:p w:rsidR="00E25382" w:rsidRDefault="00D36394" w:rsidP="00E25382">
      <w:pPr>
        <w:ind w:leftChars="200" w:left="640" w:firstLineChars="0" w:firstLine="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>第四条</w:t>
      </w:r>
      <w:r w:rsidR="007340AA">
        <w:rPr>
          <w:rFonts w:ascii="仿宋_GB2312" w:hAnsi="Times New Roman" w:cs="仿宋_GB2312" w:hint="eastAsia"/>
          <w:b/>
          <w:bCs/>
          <w:szCs w:val="32"/>
        </w:rPr>
        <w:t xml:space="preserve">  </w:t>
      </w:r>
      <w:r>
        <w:rPr>
          <w:rFonts w:ascii="仿宋_GB2312" w:hAnsi="Times New Roman" w:cs="仿宋_GB2312" w:hint="eastAsia"/>
          <w:szCs w:val="32"/>
        </w:rPr>
        <w:t>审判委员会履行下列审判工作职责。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（一）总结审判工作经验，规范审判管理；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lastRenderedPageBreak/>
        <w:t>（二）讨论决定其他有关全员审判工作的重大事项。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 xml:space="preserve">第五条 </w:t>
      </w:r>
      <w:r w:rsidR="007340AA">
        <w:rPr>
          <w:rFonts w:ascii="仿宋_GB2312" w:hAnsi="Times New Roman" w:cs="仿宋_GB2312" w:hint="eastAsia"/>
          <w:b/>
          <w:bCs/>
          <w:szCs w:val="32"/>
        </w:rPr>
        <w:t xml:space="preserve"> </w:t>
      </w:r>
      <w:r>
        <w:rPr>
          <w:rFonts w:ascii="仿宋_GB2312" w:hAnsi="Times New Roman" w:cs="仿宋_GB2312" w:hint="eastAsia"/>
          <w:szCs w:val="32"/>
        </w:rPr>
        <w:t>院长</w:t>
      </w:r>
      <w:r w:rsidR="007340AA">
        <w:rPr>
          <w:rFonts w:ascii="仿宋_GB2312" w:hAnsi="Times New Roman" w:cs="仿宋_GB2312" w:hint="eastAsia"/>
          <w:szCs w:val="32"/>
        </w:rPr>
        <w:t>全面</w:t>
      </w:r>
      <w:r>
        <w:rPr>
          <w:rFonts w:ascii="仿宋_GB2312" w:hAnsi="Times New Roman" w:cs="仿宋_GB2312" w:hint="eastAsia"/>
          <w:szCs w:val="32"/>
        </w:rPr>
        <w:t>领导本院的审判管理工作，协调有关管理事项，院长、副院长履行下列管理职责：</w:t>
      </w:r>
    </w:p>
    <w:p w:rsidR="00E25382" w:rsidRDefault="00D36394" w:rsidP="00E25382">
      <w:pPr>
        <w:numPr>
          <w:ilvl w:val="0"/>
          <w:numId w:val="2"/>
        </w:num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从宏观指导全面的或者专项的审判工作；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（二）组织研究重大问题，制定有助于提高公正、高效和公信的司法政策及相关管理制度；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（三）综合负责审判管理工作；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（四）主持或根据授权主持审判委员会总结审判工作经验；决定案件是否提请审判委员会讨论；召集专业法官会议；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（五）主持法官考评委员会对法官进行评鉴；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（六）依照法律规定的权限和程序对案件审理过程中遇到的重大程序事项</w:t>
      </w:r>
      <w:proofErr w:type="gramStart"/>
      <w:r>
        <w:rPr>
          <w:rFonts w:ascii="仿宋_GB2312" w:hAnsi="Times New Roman" w:cs="仿宋_GB2312" w:hint="eastAsia"/>
          <w:szCs w:val="32"/>
        </w:rPr>
        <w:t>作出</w:t>
      </w:r>
      <w:proofErr w:type="gramEnd"/>
      <w:r>
        <w:rPr>
          <w:rFonts w:ascii="仿宋_GB2312" w:hAnsi="Times New Roman" w:cs="仿宋_GB2312" w:hint="eastAsia"/>
          <w:szCs w:val="32"/>
        </w:rPr>
        <w:t>决定；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（七）协调重大审判活动的组织工作；</w:t>
      </w:r>
    </w:p>
    <w:p w:rsidR="00E25382" w:rsidRDefault="00D36394" w:rsidP="00E25382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（八）管理与审判工作直接相关的其他事务。</w:t>
      </w:r>
    </w:p>
    <w:p w:rsidR="00E25382" w:rsidRDefault="00D36394" w:rsidP="00E25382">
      <w:pPr>
        <w:ind w:leftChars="200" w:left="640" w:firstLineChars="0" w:firstLine="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 xml:space="preserve">第六条 </w:t>
      </w:r>
      <w:r>
        <w:rPr>
          <w:rFonts w:ascii="仿宋_GB2312" w:hAnsi="Times New Roman" w:cs="仿宋_GB2312" w:hint="eastAsia"/>
          <w:szCs w:val="32"/>
        </w:rPr>
        <w:t xml:space="preserve"> 庭长履行下列审判管理职责：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（一）从宏观上指导本庭审判工作，落实审判管理制度，研究制定各合议庭和审判团队之间、内部成员之间的职责分工；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（二）对合议庭审判质</w:t>
      </w:r>
      <w:proofErr w:type="gramStart"/>
      <w:r>
        <w:rPr>
          <w:rFonts w:ascii="仿宋_GB2312" w:hAnsi="Times New Roman" w:cs="仿宋_GB2312" w:hint="eastAsia"/>
          <w:szCs w:val="32"/>
        </w:rPr>
        <w:t>效进行</w:t>
      </w:r>
      <w:proofErr w:type="gramEnd"/>
      <w:r>
        <w:rPr>
          <w:rFonts w:ascii="仿宋_GB2312" w:hAnsi="Times New Roman" w:cs="仿宋_GB2312" w:hint="eastAsia"/>
          <w:szCs w:val="32"/>
        </w:rPr>
        <w:t>管理监督；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（三）根据审判工作态势，采取优化内部流转程序的措施；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（四）负责随机分案后因特殊情况</w:t>
      </w:r>
      <w:r w:rsidR="007340AA">
        <w:rPr>
          <w:rFonts w:ascii="仿宋_GB2312" w:hAnsi="Times New Roman" w:cs="仿宋_GB2312" w:hint="eastAsia"/>
          <w:szCs w:val="32"/>
        </w:rPr>
        <w:t>需</w:t>
      </w:r>
      <w:r>
        <w:rPr>
          <w:rFonts w:ascii="仿宋_GB2312" w:hAnsi="Times New Roman" w:cs="仿宋_GB2312" w:hint="eastAsia"/>
          <w:szCs w:val="32"/>
        </w:rPr>
        <w:t>调整分案的事宜；</w:t>
      </w:r>
    </w:p>
    <w:p w:rsidR="00E25382" w:rsidRDefault="007340AA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lastRenderedPageBreak/>
        <w:t>（五）召集或者提请副院长召集专业法官会议；对需要由</w:t>
      </w:r>
      <w:r w:rsidR="00D36394">
        <w:rPr>
          <w:rFonts w:ascii="仿宋_GB2312" w:hAnsi="Times New Roman" w:cs="仿宋_GB2312" w:hint="eastAsia"/>
          <w:szCs w:val="32"/>
        </w:rPr>
        <w:t>审判委员会讨论的案件，报请分管副院长决定；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（六）依法处理合议庭案件审理中遇到的有关程序事项；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（七）落实院长、副院长交办的其他审判管理实务。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副庭长协助庭长开展工作。</w:t>
      </w:r>
    </w:p>
    <w:p w:rsidR="00E25382" w:rsidRDefault="00D36394">
      <w:pPr>
        <w:ind w:firstLine="640"/>
        <w:rPr>
          <w:rFonts w:ascii="仿宋_GB2312" w:hAnsi="Times New Roman" w:cs="仿宋_GB2312"/>
          <w:b/>
          <w:bCs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>第七条  合议庭负责人履行下列审判职责（是否需要？）</w:t>
      </w:r>
    </w:p>
    <w:p w:rsidR="00E25382" w:rsidRDefault="00E25382" w:rsidP="00E25382">
      <w:pPr>
        <w:ind w:leftChars="200" w:left="640" w:firstLineChars="0" w:firstLine="0"/>
        <w:rPr>
          <w:rFonts w:ascii="黑体" w:eastAsia="黑体" w:hAnsi="黑体" w:cs="黑体"/>
          <w:b/>
          <w:bCs/>
        </w:rPr>
      </w:pPr>
    </w:p>
    <w:p w:rsidR="00E25382" w:rsidRDefault="00D36394" w:rsidP="00E25382">
      <w:pPr>
        <w:numPr>
          <w:ilvl w:val="0"/>
          <w:numId w:val="1"/>
        </w:numPr>
        <w:ind w:firstLine="643"/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院、庭长的审判监督职责</w:t>
      </w:r>
    </w:p>
    <w:p w:rsidR="00E25382" w:rsidRDefault="00E25382">
      <w:pPr>
        <w:ind w:firstLineChars="0" w:firstLine="0"/>
        <w:rPr>
          <w:rFonts w:ascii="黑体" w:eastAsia="黑体" w:hAnsi="黑体" w:cs="黑体"/>
          <w:b/>
          <w:bCs/>
        </w:rPr>
      </w:pPr>
    </w:p>
    <w:p w:rsidR="00E25382" w:rsidRDefault="00D36394">
      <w:pPr>
        <w:ind w:firstLine="640"/>
        <w:rPr>
          <w:rFonts w:ascii="仿宋_GB2312" w:hAnsi="Times New Roman" w:cs="仿宋_GB2312"/>
          <w:b/>
          <w:bCs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 xml:space="preserve">第八条  </w:t>
      </w:r>
      <w:r>
        <w:rPr>
          <w:rFonts w:ascii="仿宋_GB2312" w:hAnsi="Times New Roman" w:cs="仿宋_GB2312" w:hint="eastAsia"/>
          <w:szCs w:val="32"/>
        </w:rPr>
        <w:t>院、庭长应按照各自的职责范围对合议庭的审判工作履行监督职责，确保全院审判执行工作科学</w:t>
      </w:r>
      <w:r w:rsidR="007340AA">
        <w:rPr>
          <w:rFonts w:ascii="仿宋_GB2312" w:hAnsi="Times New Roman" w:cs="仿宋_GB2312" w:hint="eastAsia"/>
          <w:szCs w:val="32"/>
        </w:rPr>
        <w:t>、有序</w:t>
      </w:r>
      <w:r>
        <w:rPr>
          <w:rFonts w:ascii="仿宋_GB2312" w:hAnsi="Times New Roman" w:cs="仿宋_GB2312" w:hint="eastAsia"/>
          <w:szCs w:val="32"/>
        </w:rPr>
        <w:t>、高效运行和发展。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>第九条</w:t>
      </w:r>
      <w:r>
        <w:rPr>
          <w:rFonts w:ascii="仿宋_GB2312" w:hAnsi="Times New Roman" w:cs="仿宋_GB2312" w:hint="eastAsia"/>
          <w:szCs w:val="32"/>
        </w:rPr>
        <w:t xml:space="preserve">  院、庭长通过将案件提交专业法官会议、审判委员会讨论等方式，对规定范围内的案件进行监督。</w:t>
      </w:r>
    </w:p>
    <w:p w:rsidR="00E25382" w:rsidRDefault="007340AA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院、庭长在履行监督职责中不得擅自变更合议庭的决定，除</w:t>
      </w:r>
      <w:r w:rsidR="00D36394">
        <w:rPr>
          <w:rFonts w:ascii="仿宋_GB2312" w:hAnsi="Times New Roman" w:cs="仿宋_GB2312" w:hint="eastAsia"/>
          <w:szCs w:val="32"/>
        </w:rPr>
        <w:t>参加审判委员会、专业法官会议外不得对其没有参加审理的案件发表倾向性意见。院、庭长对审判活动的监督全程留痕。</w:t>
      </w:r>
    </w:p>
    <w:p w:rsidR="00E25382" w:rsidRDefault="00D36394" w:rsidP="007340AA">
      <w:pPr>
        <w:ind w:firstLineChars="221" w:firstLine="708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 xml:space="preserve">第十条  </w:t>
      </w:r>
      <w:r w:rsidR="007340AA">
        <w:rPr>
          <w:rFonts w:ascii="仿宋_GB2312" w:hAnsi="Times New Roman" w:cs="仿宋_GB2312" w:hint="eastAsia"/>
          <w:szCs w:val="32"/>
        </w:rPr>
        <w:t>有</w:t>
      </w:r>
      <w:r>
        <w:rPr>
          <w:rFonts w:ascii="仿宋_GB2312" w:hAnsi="Times New Roman" w:cs="仿宋_GB2312" w:hint="eastAsia"/>
          <w:szCs w:val="32"/>
        </w:rPr>
        <w:t>下列情形的，院、庭长有权要求独任法官或者合议庭报告案件进展和评议结果：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（一）涉及群体性纠纷，可能影响社会稳定的；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（二）疑难、复杂且在社会上有重大影响的；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lastRenderedPageBreak/>
        <w:t>（三）与本院或者上级法院</w:t>
      </w:r>
      <w:proofErr w:type="gramStart"/>
      <w:r>
        <w:rPr>
          <w:rFonts w:ascii="仿宋_GB2312" w:hAnsi="Times New Roman" w:cs="仿宋_GB2312" w:hint="eastAsia"/>
          <w:szCs w:val="32"/>
        </w:rPr>
        <w:t>的类案判决</w:t>
      </w:r>
      <w:proofErr w:type="gramEnd"/>
      <w:r>
        <w:rPr>
          <w:rFonts w:ascii="仿宋_GB2312" w:hAnsi="Times New Roman" w:cs="仿宋_GB2312" w:hint="eastAsia"/>
          <w:szCs w:val="32"/>
        </w:rPr>
        <w:t>可能发生冲突的；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（四）有关单位或者个人反映法官有违法审判行为的。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院、庭</w:t>
      </w:r>
      <w:bookmarkStart w:id="0" w:name="_GoBack"/>
      <w:bookmarkEnd w:id="0"/>
      <w:r>
        <w:rPr>
          <w:rFonts w:ascii="仿宋_GB2312" w:hAnsi="Times New Roman" w:cs="仿宋_GB2312" w:hint="eastAsia"/>
          <w:szCs w:val="32"/>
        </w:rPr>
        <w:t>长对</w:t>
      </w:r>
      <w:r w:rsidR="007340AA">
        <w:rPr>
          <w:rFonts w:ascii="仿宋_GB2312" w:hAnsi="Times New Roman" w:cs="仿宋_GB2312" w:hint="eastAsia"/>
          <w:szCs w:val="32"/>
        </w:rPr>
        <w:t>上述</w:t>
      </w:r>
      <w:r>
        <w:rPr>
          <w:rFonts w:ascii="仿宋_GB2312" w:hAnsi="Times New Roman" w:cs="仿宋_GB2312" w:hint="eastAsia"/>
          <w:szCs w:val="32"/>
        </w:rPr>
        <w:t>案件的审理过程或者评议结果有异议的，不得直接改变合议庭的意见，但可以决定将案件提交专业法官会议、审判委员会进行讨论。院、庭长针对上述案件监督建议的时间、内容、处理结果等应当在卷宗和审判管理系统中全程留痕。</w:t>
      </w:r>
    </w:p>
    <w:p w:rsidR="00E25382" w:rsidRDefault="007340AA">
      <w:pPr>
        <w:numPr>
          <w:ilvl w:val="0"/>
          <w:numId w:val="3"/>
        </w:numPr>
        <w:ind w:firstLine="640"/>
        <w:rPr>
          <w:rFonts w:ascii="仿宋_GB2312" w:hAnsi="Times New Roman" w:cs="仿宋_GB2312"/>
          <w:b/>
          <w:bCs/>
          <w:szCs w:val="32"/>
        </w:rPr>
      </w:pPr>
      <w:r>
        <w:rPr>
          <w:rFonts w:ascii="仿宋_GB2312" w:hAnsi="Times New Roman" w:cs="仿宋_GB2312" w:hint="eastAsia"/>
          <w:szCs w:val="32"/>
        </w:rPr>
        <w:t xml:space="preserve">  </w:t>
      </w:r>
      <w:r w:rsidR="00D36394">
        <w:rPr>
          <w:rFonts w:ascii="仿宋_GB2312" w:hAnsi="Times New Roman" w:cs="仿宋_GB2312" w:hint="eastAsia"/>
          <w:szCs w:val="32"/>
        </w:rPr>
        <w:t>除审判委员会讨论决定的案件外，院、庭长不再对其未直接参加审理合议的案件的法律文书进行审核签发。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 xml:space="preserve">第十二条  </w:t>
      </w:r>
      <w:r>
        <w:rPr>
          <w:rFonts w:ascii="仿宋_GB2312" w:hAnsi="Times New Roman" w:cs="仿宋_GB2312" w:hint="eastAsia"/>
          <w:szCs w:val="32"/>
        </w:rPr>
        <w:t>审判监督庭按照诉讼法的规定行使法定审判监督权。</w:t>
      </w:r>
    </w:p>
    <w:p w:rsidR="00E25382" w:rsidRDefault="00D36394" w:rsidP="00E25382">
      <w:pPr>
        <w:numPr>
          <w:ilvl w:val="0"/>
          <w:numId w:val="1"/>
        </w:numPr>
        <w:ind w:firstLine="643"/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附 则</w:t>
      </w:r>
    </w:p>
    <w:p w:rsidR="00E25382" w:rsidRDefault="00D36394">
      <w:pPr>
        <w:ind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 xml:space="preserve">第十九条  </w:t>
      </w:r>
      <w:r w:rsidR="007340AA">
        <w:rPr>
          <w:rFonts w:ascii="仿宋_GB2312" w:hAnsi="Times New Roman" w:cs="仿宋_GB2312" w:hint="eastAsia"/>
          <w:b/>
          <w:bCs/>
          <w:szCs w:val="32"/>
        </w:rPr>
        <w:t xml:space="preserve"> </w:t>
      </w:r>
      <w:r>
        <w:rPr>
          <w:rFonts w:ascii="仿宋_GB2312" w:hAnsi="Times New Roman" w:cs="仿宋_GB2312" w:hint="eastAsia"/>
          <w:szCs w:val="32"/>
        </w:rPr>
        <w:t>本规定</w:t>
      </w:r>
      <w:r w:rsidR="007340AA">
        <w:rPr>
          <w:rFonts w:ascii="仿宋_GB2312" w:hAnsi="Times New Roman" w:cs="仿宋_GB2312" w:hint="eastAsia"/>
          <w:szCs w:val="32"/>
        </w:rPr>
        <w:t>由</w:t>
      </w:r>
      <w:r>
        <w:rPr>
          <w:rFonts w:ascii="仿宋_GB2312" w:hAnsi="Times New Roman" w:cs="仿宋_GB2312" w:hint="eastAsia"/>
          <w:szCs w:val="32"/>
        </w:rPr>
        <w:t>本院审判委员会负责解释。</w:t>
      </w:r>
    </w:p>
    <w:p w:rsidR="00E25382" w:rsidRDefault="00D36394" w:rsidP="00E25382">
      <w:pPr>
        <w:ind w:leftChars="200" w:left="640" w:firstLineChars="0" w:firstLine="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b/>
          <w:bCs/>
          <w:szCs w:val="32"/>
        </w:rPr>
        <w:t>第二十</w:t>
      </w:r>
      <w:r>
        <w:rPr>
          <w:rFonts w:ascii="黑体" w:eastAsia="黑体" w:hAnsi="黑体" w:cs="黑体" w:hint="eastAsia"/>
        </w:rPr>
        <w:t xml:space="preserve">条  </w:t>
      </w:r>
      <w:r>
        <w:rPr>
          <w:rFonts w:ascii="仿宋_GB2312" w:hAnsi="Times New Roman" w:cs="仿宋_GB2312" w:hint="eastAsia"/>
          <w:szCs w:val="32"/>
        </w:rPr>
        <w:t xml:space="preserve"> 本规则自发布之日起实施。 </w:t>
      </w:r>
    </w:p>
    <w:p w:rsidR="00E25382" w:rsidRDefault="00E25382">
      <w:pPr>
        <w:ind w:firstLine="640"/>
        <w:rPr>
          <w:rFonts w:ascii="仿宋_GB2312" w:hAnsi="Times New Roman" w:cs="仿宋_GB2312"/>
          <w:szCs w:val="32"/>
        </w:rPr>
      </w:pPr>
    </w:p>
    <w:sectPr w:rsidR="00E25382" w:rsidSect="00E25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94" w:rsidRDefault="00D36394" w:rsidP="00D36394">
      <w:pPr>
        <w:ind w:firstLine="640"/>
      </w:pPr>
      <w:r>
        <w:separator/>
      </w:r>
    </w:p>
  </w:endnote>
  <w:endnote w:type="continuationSeparator" w:id="1">
    <w:p w:rsidR="00D36394" w:rsidRDefault="00D36394" w:rsidP="00D3639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94" w:rsidRDefault="00D36394" w:rsidP="00D3639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94" w:rsidRDefault="00D36394" w:rsidP="00D3639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94" w:rsidRDefault="00D36394" w:rsidP="00D3639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94" w:rsidRDefault="00D36394" w:rsidP="00D36394">
      <w:pPr>
        <w:ind w:firstLine="640"/>
      </w:pPr>
      <w:r>
        <w:separator/>
      </w:r>
    </w:p>
  </w:footnote>
  <w:footnote w:type="continuationSeparator" w:id="1">
    <w:p w:rsidR="00D36394" w:rsidRDefault="00D36394" w:rsidP="00D3639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94" w:rsidRDefault="00D36394" w:rsidP="00D3639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94" w:rsidRDefault="00D36394" w:rsidP="00D36394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94" w:rsidRDefault="00D36394" w:rsidP="00D36394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E496"/>
    <w:multiLevelType w:val="singleLevel"/>
    <w:tmpl w:val="57FDE496"/>
    <w:lvl w:ilvl="0">
      <w:start w:val="1"/>
      <w:numFmt w:val="chineseCounting"/>
      <w:suff w:val="space"/>
      <w:lvlText w:val="第%1章"/>
      <w:lvlJc w:val="left"/>
    </w:lvl>
  </w:abstractNum>
  <w:abstractNum w:abstractNumId="1">
    <w:nsid w:val="57FDEB14"/>
    <w:multiLevelType w:val="singleLevel"/>
    <w:tmpl w:val="57FDEB14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FDF0F4"/>
    <w:multiLevelType w:val="singleLevel"/>
    <w:tmpl w:val="57FDF0F4"/>
    <w:lvl w:ilvl="0">
      <w:start w:val="11"/>
      <w:numFmt w:val="chineseCounting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7340AA"/>
    <w:rsid w:val="009A4E5C"/>
    <w:rsid w:val="00D36394"/>
    <w:rsid w:val="00E25382"/>
    <w:rsid w:val="3155120F"/>
    <w:rsid w:val="34A56F42"/>
    <w:rsid w:val="378F3D0D"/>
    <w:rsid w:val="3F926932"/>
    <w:rsid w:val="431C2E7A"/>
    <w:rsid w:val="4B0B1E3C"/>
    <w:rsid w:val="4D9440E7"/>
    <w:rsid w:val="4DFF7108"/>
    <w:rsid w:val="541D7D38"/>
    <w:rsid w:val="6D1E4B57"/>
    <w:rsid w:val="7AC97019"/>
    <w:rsid w:val="7E6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382"/>
    <w:pPr>
      <w:widowControl w:val="0"/>
      <w:ind w:firstLineChars="200" w:firstLine="88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E25382"/>
    <w:pPr>
      <w:keepNext/>
      <w:keepLines/>
      <w:spacing w:line="576" w:lineRule="auto"/>
      <w:jc w:val="center"/>
      <w:outlineLvl w:val="0"/>
    </w:pPr>
    <w:rPr>
      <w:rFonts w:eastAsiaTheme="minorEastAsia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639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36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639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1458</Words>
  <Characters>63</Characters>
  <Application>Microsoft Office Word</Application>
  <DocSecurity>0</DocSecurity>
  <Lines>1</Lines>
  <Paragraphs>3</Paragraphs>
  <ScaleCrop>false</ScaleCrop>
  <Company>Kingsoft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cykj</cp:lastModifiedBy>
  <cp:revision>4</cp:revision>
  <dcterms:created xsi:type="dcterms:W3CDTF">2014-10-29T12:08:00Z</dcterms:created>
  <dcterms:modified xsi:type="dcterms:W3CDTF">2016-10-27T08:27:00Z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